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qo6nedh92eyv" w:id="0"/>
      <w:bookmarkEnd w:id="0"/>
      <w:r w:rsidDel="00000000" w:rsidR="00000000" w:rsidRPr="00000000">
        <w:rPr>
          <w:rtl w:val="0"/>
        </w:rPr>
      </w:r>
    </w:p>
    <w:p w:rsidR="00000000" w:rsidDel="00000000" w:rsidP="00000000" w:rsidRDefault="00000000" w:rsidRPr="00000000" w14:paraId="00000002">
      <w:pPr>
        <w:spacing w:after="240" w:line="240" w:lineRule="auto"/>
        <w:jc w:val="center"/>
        <w:rPr>
          <w:b w:val="1"/>
          <w:smallCaps w:val="1"/>
        </w:rPr>
      </w:pPr>
      <w:bookmarkStart w:colFirst="0" w:colLast="0" w:name="_heading=h.2tu402ho6yy0" w:id="1"/>
      <w:bookmarkEnd w:id="1"/>
      <w:r w:rsidDel="00000000" w:rsidR="00000000" w:rsidRPr="00000000">
        <w:rPr>
          <w:rtl w:val="0"/>
        </w:rPr>
      </w:r>
    </w:p>
    <w:p w:rsidR="00000000" w:rsidDel="00000000" w:rsidP="00000000" w:rsidRDefault="00000000" w:rsidRPr="00000000" w14:paraId="00000003">
      <w:pPr>
        <w:spacing w:after="240" w:line="240" w:lineRule="auto"/>
        <w:jc w:val="center"/>
        <w:rPr>
          <w:b w:val="1"/>
          <w:smallCaps w:val="1"/>
        </w:rPr>
      </w:pPr>
      <w:bookmarkStart w:colFirst="0" w:colLast="0" w:name="_heading=h.gjdgxs" w:id="2"/>
      <w:bookmarkEnd w:id="2"/>
      <w:r w:rsidDel="00000000" w:rsidR="00000000" w:rsidRPr="00000000">
        <w:rPr>
          <w:rtl w:val="0"/>
        </w:rPr>
      </w:r>
    </w:p>
    <w:p w:rsidR="00000000" w:rsidDel="00000000" w:rsidP="00000000" w:rsidRDefault="00000000" w:rsidRPr="00000000" w14:paraId="00000004">
      <w:pPr>
        <w:spacing w:after="240" w:before="240" w:line="240" w:lineRule="auto"/>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5">
      <w:pPr>
        <w:spacing w:after="240" w:before="240" w:line="240" w:lineRule="auto"/>
        <w:jc w:val="center"/>
        <w:rPr>
          <w:b w:val="1"/>
        </w:rPr>
      </w:pPr>
      <w:bookmarkStart w:colFirst="0" w:colLast="0" w:name="_heading=h.y07yxgehe3zl" w:id="3"/>
      <w:bookmarkEnd w:id="3"/>
      <w:r w:rsidDel="00000000" w:rsidR="00000000" w:rsidRPr="00000000">
        <w:rPr>
          <w:b w:val="1"/>
          <w:rtl w:val="0"/>
        </w:rPr>
        <w:t xml:space="preserve">AND </w:t>
      </w:r>
    </w:p>
    <w:p w:rsidR="00000000" w:rsidDel="00000000" w:rsidP="00000000" w:rsidRDefault="00000000" w:rsidRPr="00000000" w14:paraId="00000006">
      <w:pPr>
        <w:spacing w:after="240" w:before="240" w:line="240" w:lineRule="auto"/>
        <w:jc w:val="center"/>
        <w:rPr>
          <w:b w:val="1"/>
          <w:smallCaps w:val="1"/>
        </w:rPr>
      </w:pPr>
      <w:bookmarkStart w:colFirst="0" w:colLast="0" w:name="_heading=h.oa2m74ppjuqu" w:id="4"/>
      <w:bookmarkEnd w:id="4"/>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rPr>
          <w:b w:val="1"/>
        </w:rPr>
      </w:pPr>
      <w:bookmarkStart w:colFirst="0" w:colLast="0" w:name="_heading=h.30j0zll" w:id="5"/>
      <w:bookmarkEnd w:id="5"/>
      <w:r w:rsidDel="00000000" w:rsidR="00000000" w:rsidRPr="00000000">
        <w:br w:type="page"/>
      </w:r>
      <w:r w:rsidDel="00000000" w:rsidR="00000000" w:rsidRPr="00000000">
        <w:rPr>
          <w:rtl w:val="0"/>
        </w:rPr>
      </w:r>
    </w:p>
    <w:p w:rsidR="00000000" w:rsidDel="00000000" w:rsidP="00000000" w:rsidRDefault="00000000" w:rsidRPr="00000000" w14:paraId="0000000F">
      <w:pPr>
        <w:rPr>
          <w:b w:val="1"/>
        </w:rPr>
      </w:pP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240" w:line="240" w:lineRule="auto"/>
        <w:ind w:firstLine="426"/>
        <w:jc w:val="center"/>
        <w:rPr>
          <w:b w:val="1"/>
          <w:smallCaps w:val="1"/>
          <w:color w:val="000000"/>
        </w:rPr>
      </w:pPr>
      <w:r w:rsidDel="00000000" w:rsidR="00000000" w:rsidRPr="00000000">
        <w:rPr>
          <w:b w:val="1"/>
          <w:smallCaps w:val="1"/>
          <w:color w:val="000000"/>
          <w:rtl w:val="0"/>
        </w:rPr>
        <w:t xml:space="preserve">JOINT schedule 4</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240" w:line="240" w:lineRule="auto"/>
        <w:ind w:firstLine="426"/>
        <w:jc w:val="center"/>
        <w:rPr>
          <w:b w:val="1"/>
          <w:smallCaps w:val="1"/>
          <w:color w:val="000000"/>
        </w:rPr>
      </w:pPr>
      <w:r w:rsidDel="00000000" w:rsidR="00000000" w:rsidRPr="00000000">
        <w:rPr>
          <w:b w:val="1"/>
          <w:smallCaps w:val="1"/>
          <w:color w:val="000000"/>
          <w:rtl w:val="0"/>
        </w:rPr>
        <w:t xml:space="preserve">commercially sensitive information</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b w:val="1"/>
          <w:smallCaps w:val="1"/>
          <w:color w:val="000000"/>
        </w:rPr>
      </w:pPr>
      <w:r w:rsidDel="00000000" w:rsidR="00000000" w:rsidRPr="00000000">
        <w:rPr>
          <w:b w:val="1"/>
          <w:smallCaps w:val="1"/>
          <w:color w:val="000000"/>
          <w:rtl w:val="0"/>
        </w:rPr>
        <w:t xml:space="preserve">INTRODUCTION</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color w:val="000000"/>
        </w:rPr>
      </w:pPr>
      <w:r w:rsidDel="00000000" w:rsidR="00000000" w:rsidRPr="00000000">
        <w:rPr>
          <w:color w:val="000000"/>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color w:val="000000"/>
        </w:rPr>
      </w:pPr>
      <w:r w:rsidDel="00000000" w:rsidR="00000000" w:rsidRPr="00000000">
        <w:rPr>
          <w:color w:val="000000"/>
          <w:rtl w:val="0"/>
        </w:rPr>
        <w:t xml:space="preserve">Where possible, the Parties have sought to identify when any relevant Information will cease to fall into the category of Information to which this Schedule applies in the table below and in the Buyer Contract Details (which shall be deemed incorporated into the table below).</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color w:val="000000"/>
        </w:rPr>
      </w:pPr>
      <w:r w:rsidDel="00000000" w:rsidR="00000000" w:rsidRPr="00000000">
        <w:rPr>
          <w:color w:val="000000"/>
          <w:rtl w:val="0"/>
        </w:rPr>
        <w:t xml:space="preserve">Without prejudice to the Relevant Authority's obligation to disclose Information in accordance with FOIA or Core Terms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tbl>
      <w:tblPr>
        <w:tblStyle w:val="Table1"/>
        <w:tblW w:w="8595.0" w:type="dxa"/>
        <w:jc w:val="left"/>
        <w:tblInd w:w="3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5"/>
        <w:gridCol w:w="1410"/>
        <w:gridCol w:w="3465"/>
        <w:gridCol w:w="2895"/>
        <w:tblGridChange w:id="0">
          <w:tblGrid>
            <w:gridCol w:w="825"/>
            <w:gridCol w:w="1410"/>
            <w:gridCol w:w="3465"/>
            <w:gridCol w:w="2895"/>
          </w:tblGrid>
        </w:tblGridChange>
      </w:tblGrid>
      <w:tr>
        <w:trPr>
          <w:cantSplit w:val="0"/>
          <w:tblHeader w:val="1"/>
        </w:trPr>
        <w:tc>
          <w:tcPr/>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spacing w:after="120" w:before="240" w:line="240" w:lineRule="auto"/>
              <w:ind w:left="142" w:firstLine="0"/>
              <w:jc w:val="center"/>
              <w:rPr>
                <w:b w:val="1"/>
                <w:color w:val="000000"/>
              </w:rPr>
            </w:pPr>
            <w:r w:rsidDel="00000000" w:rsidR="00000000" w:rsidRPr="00000000">
              <w:rPr>
                <w:b w:val="1"/>
                <w:color w:val="000000"/>
                <w:rtl w:val="0"/>
              </w:rPr>
              <w:t xml:space="preserve">No.</w:t>
            </w:r>
          </w:p>
        </w:tc>
        <w:tc>
          <w:tcPr/>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spacing w:after="120" w:before="240" w:line="240" w:lineRule="auto"/>
              <w:ind w:left="142" w:firstLine="0"/>
              <w:jc w:val="center"/>
              <w:rPr>
                <w:b w:val="1"/>
                <w:color w:val="000000"/>
              </w:rPr>
            </w:pPr>
            <w:r w:rsidDel="00000000" w:rsidR="00000000" w:rsidRPr="00000000">
              <w:rPr>
                <w:b w:val="1"/>
                <w:color w:val="000000"/>
                <w:rtl w:val="0"/>
              </w:rPr>
              <w:t xml:space="preserve">Date</w:t>
            </w:r>
          </w:p>
        </w:tc>
        <w:tc>
          <w:tcPr/>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spacing w:after="120" w:before="240" w:line="240" w:lineRule="auto"/>
              <w:ind w:left="142" w:firstLine="0"/>
              <w:jc w:val="center"/>
              <w:rPr>
                <w:b w:val="1"/>
                <w:color w:val="000000"/>
              </w:rPr>
            </w:pPr>
            <w:r w:rsidDel="00000000" w:rsidR="00000000" w:rsidRPr="00000000">
              <w:rPr>
                <w:b w:val="1"/>
                <w:color w:val="000000"/>
                <w:rtl w:val="0"/>
              </w:rPr>
              <w:t xml:space="preserve">Item(s)</w:t>
            </w:r>
          </w:p>
        </w:tc>
        <w:tc>
          <w:tcPr/>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spacing w:after="120" w:before="240" w:line="240" w:lineRule="auto"/>
              <w:ind w:left="142" w:firstLine="0"/>
              <w:jc w:val="center"/>
              <w:rPr>
                <w:b w:val="1"/>
                <w:color w:val="000000"/>
              </w:rPr>
            </w:pPr>
            <w:r w:rsidDel="00000000" w:rsidR="00000000" w:rsidRPr="00000000">
              <w:rPr>
                <w:b w:val="1"/>
                <w:color w:val="000000"/>
                <w:rtl w:val="0"/>
              </w:rPr>
              <w:t xml:space="preserve">Duration of Confidentiality</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rtl w:val="0"/>
              </w:rPr>
              <w:t xml:space="preserve">1</w:t>
            </w:r>
            <w:r w:rsidDel="00000000" w:rsidR="00000000" w:rsidRPr="00000000">
              <w:rPr>
                <w:rtl w:val="0"/>
              </w:rPr>
            </w:r>
          </w:p>
        </w:tc>
        <w:tc>
          <w:tcPr/>
          <w:p w:rsidR="00000000" w:rsidDel="00000000" w:rsidP="00000000" w:rsidRDefault="00000000" w:rsidRPr="00000000" w14:paraId="0000001C">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120" w:before="240" w:line="240" w:lineRule="auto"/>
              <w:ind w:left="142" w:firstLine="0"/>
              <w:jc w:val="both"/>
              <w:rPr>
                <w:highlight w:val="white"/>
              </w:rPr>
            </w:pPr>
            <w:r w:rsidDel="00000000" w:rsidR="00000000" w:rsidRPr="00000000">
              <w:rPr>
                <w:rtl w:val="0"/>
              </w:rPr>
            </w:r>
          </w:p>
        </w:tc>
        <w:tc>
          <w:tcPr/>
          <w:p w:rsidR="00000000" w:rsidDel="00000000" w:rsidP="00000000" w:rsidRDefault="00000000" w:rsidRPr="00000000" w14:paraId="0000001E">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120" w:before="240" w:line="240" w:lineRule="auto"/>
              <w:ind w:left="142" w:firstLine="0"/>
              <w:jc w:val="both"/>
              <w:rPr>
                <w:highlight w:val="white"/>
              </w:rPr>
            </w:pPr>
            <w:r w:rsidDel="00000000" w:rsidR="00000000" w:rsidRPr="00000000">
              <w:rPr>
                <w:rtl w:val="0"/>
              </w:rPr>
            </w:r>
          </w:p>
          <w:p w:rsidR="00000000" w:rsidDel="00000000" w:rsidP="00000000" w:rsidRDefault="00000000" w:rsidRPr="00000000" w14:paraId="00000020">
            <w:pPr>
              <w:keepNext w:val="1"/>
              <w:pBdr>
                <w:top w:space="0" w:sz="0" w:val="nil"/>
                <w:left w:space="0" w:sz="0" w:val="nil"/>
                <w:bottom w:space="0" w:sz="0" w:val="nil"/>
                <w:right w:space="0" w:sz="0" w:val="nil"/>
                <w:between w:space="0" w:sz="0" w:val="nil"/>
              </w:pBdr>
              <w:spacing w:after="120" w:before="240" w:line="240" w:lineRule="auto"/>
              <w:ind w:left="142" w:firstLine="0"/>
              <w:jc w:val="both"/>
              <w:rPr>
                <w:highlight w:val="white"/>
              </w:rPr>
            </w:pPr>
            <w:r w:rsidDel="00000000" w:rsidR="00000000" w:rsidRPr="00000000">
              <w:rPr>
                <w:rtl w:val="0"/>
              </w:rPr>
            </w:r>
          </w:p>
        </w:tc>
        <w:tc>
          <w:tcPr/>
          <w:p w:rsidR="00000000" w:rsidDel="00000000" w:rsidP="00000000" w:rsidRDefault="00000000" w:rsidRPr="00000000" w14:paraId="00000021">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p w:rsidR="00000000" w:rsidDel="00000000" w:rsidP="00000000" w:rsidRDefault="00000000" w:rsidRPr="00000000" w14:paraId="00000022">
            <w:pPr>
              <w:keepNext w:val="1"/>
              <w:spacing w:after="120" w:before="240" w:lineRule="auto"/>
              <w:ind w:left="142" w:firstLine="0"/>
              <w:jc w:val="both"/>
              <w:rPr>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rtl w:val="0"/>
              </w:rPr>
              <w:t xml:space="preserve">2</w:t>
            </w:r>
            <w:r w:rsidDel="00000000" w:rsidR="00000000" w:rsidRPr="00000000">
              <w:rPr>
                <w:rtl w:val="0"/>
              </w:rPr>
            </w:r>
          </w:p>
        </w:tc>
        <w:tc>
          <w:tcPr/>
          <w:p w:rsidR="00000000" w:rsidDel="00000000" w:rsidP="00000000" w:rsidRDefault="00000000" w:rsidRPr="00000000" w14:paraId="00000024">
            <w:pPr>
              <w:keepNext w:val="1"/>
              <w:spacing w:after="120" w:before="240" w:lineRule="auto"/>
              <w:ind w:left="142" w:firstLine="0"/>
              <w:jc w:val="both"/>
              <w:rPr>
                <w:color w:val="000000"/>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r w:rsidDel="00000000" w:rsidR="00000000" w:rsidRPr="00000000">
              <w:rPr>
                <w:rtl w:val="0"/>
              </w:rPr>
            </w:r>
          </w:p>
        </w:tc>
        <w:tc>
          <w:tcPr/>
          <w:p w:rsidR="00000000" w:rsidDel="00000000" w:rsidP="00000000" w:rsidRDefault="00000000" w:rsidRPr="00000000" w14:paraId="00000025">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p w:rsidR="00000000" w:rsidDel="00000000" w:rsidP="00000000" w:rsidRDefault="00000000" w:rsidRPr="00000000" w14:paraId="00000026">
            <w:pPr>
              <w:keepNext w:val="1"/>
              <w:spacing w:after="120" w:before="240" w:lineRule="auto"/>
              <w:ind w:left="142" w:firstLine="0"/>
              <w:jc w:val="both"/>
              <w:rPr>
                <w:highlight w:val="white"/>
              </w:rPr>
            </w:pPr>
            <w:r w:rsidDel="00000000" w:rsidR="00000000" w:rsidRPr="00000000">
              <w:rPr>
                <w:rtl w:val="0"/>
              </w:rPr>
            </w:r>
          </w:p>
        </w:tc>
        <w:tc>
          <w:tcPr/>
          <w:p w:rsidR="00000000" w:rsidDel="00000000" w:rsidP="00000000" w:rsidRDefault="00000000" w:rsidRPr="00000000" w14:paraId="00000027">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p w:rsidR="00000000" w:rsidDel="00000000" w:rsidP="00000000" w:rsidRDefault="00000000" w:rsidRPr="00000000" w14:paraId="00000028">
            <w:pPr>
              <w:keepNext w:val="1"/>
              <w:spacing w:after="120" w:before="240" w:lineRule="auto"/>
              <w:ind w:left="142" w:firstLine="0"/>
              <w:jc w:val="both"/>
              <w:rPr>
                <w:highlight w:val="white"/>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120" w:before="240" w:line="240" w:lineRule="auto"/>
              <w:ind w:left="142" w:firstLine="0"/>
              <w:jc w:val="both"/>
              <w:rPr>
                <w:highlight w:val="white"/>
              </w:rPr>
            </w:pP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bookmarkStart w:colFirst="0" w:colLast="0" w:name="_heading=h.cfupp55kzdt8" w:id="6"/>
    <w:bookmarkEnd w:id="6"/>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tl w:val="0"/>
      </w:rPr>
      <w:tab/>
    </w:r>
    <w:r w:rsidDel="00000000" w:rsidR="00000000" w:rsidRPr="00000000">
      <w:rPr>
        <w:rFonts w:ascii="Arial" w:cs="Arial" w:eastAsia="Arial" w:hAnsi="Arial"/>
        <w:sz w:val="18"/>
        <w:szCs w:val="18"/>
        <w:rtl w:val="0"/>
      </w:rPr>
      <w:t xml:space="preserve">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392430</wp:posOffset>
          </wp:positionV>
          <wp:extent cx="1019175" cy="847725"/>
          <wp:effectExtent b="0" l="0" r="0" t="0"/>
          <wp:wrapSquare wrapText="bothSides" distB="45720" distT="45720" distL="114300" distR="114300"/>
          <wp:docPr id="23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2E">
    <w:pPr>
      <w:spacing w:after="0" w:lineRule="auto"/>
      <w:rPr>
        <w:b w:val="1"/>
        <w:color w:val="000000"/>
      </w:rPr>
    </w:pPr>
    <w:r w:rsidDel="00000000" w:rsidR="00000000" w:rsidRPr="00000000">
      <w:rPr>
        <w:b w:val="1"/>
        <w:rtl w:val="0"/>
      </w:rPr>
      <w:t xml:space="preserve">Customer Support &amp; Community (Provision of Soft FM Services) London</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color w:val="000000"/>
        <w:rtl w:val="0"/>
      </w:rPr>
      <w:t xml:space="preserve">Joint Schedule 4 (Commercially Sensitive Information)</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C1kyp46u5lIWG6rQYz7deSp/sQ==">CgMxLjAyDmgucW82bmVkaDkyZXl2Mg5oLjJ0dTQwMmhvNnl5MDIIaC5namRneHMyDmgueTA3eXhnZWhlM3psMg5oLm9hMm03NHBwanVxdTIJaC4zMGowemxsMg5oLmNmdXBwNTVremR0ODgAciExclhOVUZSQTVwcnlsYWJaZjEtTXNmeTNGYlNESGdUdUI=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